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FD77">
      <w:pPr>
        <w:widowControl/>
        <w:spacing w:line="580" w:lineRule="exact"/>
        <w:jc w:val="center"/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</w:t>
      </w:r>
      <w:r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解析几何</w:t>
      </w:r>
    </w:p>
    <w:p w14:paraId="072AAB41">
      <w:pPr>
        <w:widowControl/>
        <w:spacing w:line="580" w:lineRule="exact"/>
        <w:ind w:left="420" w:leftChars="200" w:firstLine="320" w:firstLineChars="100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课程的性质和目的</w:t>
      </w:r>
    </w:p>
    <w:p w14:paraId="2397820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val="en-US" w:eastAsia="zh-CN" w:bidi="ar"/>
        </w:rPr>
        <w:t>解析几何是数学的一个重要分支，是研究几何对象（如点、线、面）及其相互关系的一门学科。它借助坐标系，将几何问题转化为代数问题，通过代数方法处理几何问题，揭示空间形态与数量关系的内在联系。解析几何将数学的两个基本对象—“形”与“数”有机地联系起来，使得几何、代数和分析构成一个有机整体，从而为数学的其它分支与几何学的互相渗透、互相促进奠定了基础。</w:t>
      </w:r>
    </w:p>
    <w:p w14:paraId="7E6600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7291A8B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向量的概念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线性运算、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向量的数量积、向量积与混合积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以及双重向量积、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向量的坐标表示</w:t>
      </w:r>
      <w:bookmarkStart w:id="0" w:name="_GoBack"/>
      <w:bookmarkEnd w:id="0"/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以及向量代数在几何中的应用。</w:t>
      </w:r>
    </w:p>
    <w:p w14:paraId="4A5C38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平面曲线，空间曲线以及曲面的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普通方程与参数方程、建立方程的方法。</w:t>
      </w:r>
    </w:p>
    <w:p w14:paraId="229A94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平面与空间直线的各种形式的方程，平面与平面、平面与点、平面与直线、直线与点、直线与直线之间的相关位置。</w:t>
      </w:r>
    </w:p>
    <w:p w14:paraId="1F5156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柱面方程、锥面方程、旋转面方程的建立方法、齐次方程、绕坐标轴旋转的旋转面方程、椭球面、双曲面、抛物面的方程、单叶双曲面与双曲抛物面的直母线族方程。</w:t>
      </w:r>
    </w:p>
    <w:p w14:paraId="6661F4ED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二次曲线的概念、二次曲线与直线的相关位置、二次曲线的渐进方向、中心、渐近线，切线、主直径和主方向的定义及求法、坐标变换公式的导出，运用坐标变换和不变量的方法对二次曲线方程进行化简并分类。</w:t>
      </w:r>
    </w:p>
    <w:p w14:paraId="4D0AE7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书</w:t>
      </w:r>
    </w:p>
    <w:p w14:paraId="3C1269E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1.吕林根、许子道. 解析几何.5版.北京：高等教育出版社，</w:t>
      </w:r>
      <w:r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 xml:space="preserve">2019. </w:t>
      </w:r>
    </w:p>
    <w:p w14:paraId="2DCDB03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2.丘维声. 解析几何.3版. 北京：北京大学出版社，2015.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C96440"/>
    <w:rsid w:val="1D682C8E"/>
    <w:rsid w:val="1D912371"/>
    <w:rsid w:val="203C3DDD"/>
    <w:rsid w:val="2A5C654A"/>
    <w:rsid w:val="34451577"/>
    <w:rsid w:val="34472199"/>
    <w:rsid w:val="3B9A2E77"/>
    <w:rsid w:val="3BD463E5"/>
    <w:rsid w:val="41A775DD"/>
    <w:rsid w:val="4271734F"/>
    <w:rsid w:val="4482222D"/>
    <w:rsid w:val="453D3FF0"/>
    <w:rsid w:val="46A823AF"/>
    <w:rsid w:val="5A534E48"/>
    <w:rsid w:val="68D9331F"/>
    <w:rsid w:val="699E6EB0"/>
    <w:rsid w:val="6CD40BF2"/>
    <w:rsid w:val="6E753D0F"/>
    <w:rsid w:val="6F1B2B08"/>
    <w:rsid w:val="71566079"/>
    <w:rsid w:val="782567A5"/>
    <w:rsid w:val="7F9B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2 字符"/>
    <w:basedOn w:val="8"/>
    <w:link w:val="2"/>
    <w:qFormat/>
    <w:uiPriority w:val="0"/>
    <w:rPr>
      <w:rFonts w:hint="default" w:ascii="Calibri Light" w:hAnsi="Calibri Light" w:eastAsia="Calibri Light" w:cs="Calibri Light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237</Characters>
  <Lines>0</Lines>
  <Paragraphs>0</Paragraphs>
  <TotalTime>59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2023-09-26T03:19:00Z</dcterms:created>
  <dc:creator>LISHILEI</dc:creator>
  <cp:lastModifiedBy>张芳</cp:lastModifiedBy>
  <dcterms:modified xsi:type="dcterms:W3CDTF">2026-03-20T11:31:08Z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eyJoZGlkIjoiYzI5MGFkY2M1ZWM4NTg3NjljNDdjM2Y1ZTMxNmMwMjQiLCJ1c2VySWQiOiIxNzEwMzA2NTc4In0=</vt:lpwstr>
  </property>
  <property fmtid="{D5CDD505-2E9C-101B-9397-08002B2CF9AE}" pid="4" name="ICV">
    <vt:lpwstr>905B050F79A9484AA768E7C9A6422357_12</vt:lpwstr>
  </property>
</Properties>
</file>